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D4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color w:val="FF0000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Załącznik 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:rsidR="00756592" w:rsidRPr="00756592" w:rsidRDefault="00756592" w:rsidP="00756592">
      <w:pPr>
        <w:spacing w:after="0" w:line="240" w:lineRule="auto"/>
        <w:jc w:val="both"/>
        <w:rPr>
          <w:sz w:val="24"/>
          <w:szCs w:val="24"/>
        </w:rPr>
      </w:pPr>
      <w:r w:rsidRPr="00756592">
        <w:rPr>
          <w:b/>
          <w:sz w:val="24"/>
          <w:szCs w:val="24"/>
        </w:rPr>
        <w:t>Działanie:</w:t>
      </w:r>
      <w:r w:rsidRPr="00756592">
        <w:rPr>
          <w:sz w:val="24"/>
          <w:szCs w:val="24"/>
        </w:rPr>
        <w:t xml:space="preserve">  4.2 Gospodarka odpadami</w:t>
      </w:r>
    </w:p>
    <w:p w:rsidR="00756592" w:rsidRPr="00756592" w:rsidRDefault="00756592" w:rsidP="00756592">
      <w:pPr>
        <w:spacing w:after="0" w:line="240" w:lineRule="auto"/>
        <w:jc w:val="both"/>
        <w:rPr>
          <w:sz w:val="24"/>
          <w:szCs w:val="24"/>
        </w:rPr>
      </w:pPr>
      <w:r w:rsidRPr="00756592">
        <w:rPr>
          <w:b/>
          <w:sz w:val="24"/>
          <w:szCs w:val="24"/>
        </w:rPr>
        <w:t>Poddziałanie:</w:t>
      </w:r>
      <w:r w:rsidRPr="00756592">
        <w:rPr>
          <w:sz w:val="24"/>
          <w:szCs w:val="24"/>
        </w:rPr>
        <w:t xml:space="preserve">  n/d</w:t>
      </w:r>
    </w:p>
    <w:p w:rsidR="00756592" w:rsidRPr="00756592" w:rsidRDefault="00756592" w:rsidP="00756592">
      <w:pPr>
        <w:spacing w:after="0" w:line="240" w:lineRule="auto"/>
        <w:jc w:val="both"/>
        <w:rPr>
          <w:sz w:val="24"/>
          <w:szCs w:val="24"/>
        </w:rPr>
      </w:pPr>
      <w:r w:rsidRPr="00756592">
        <w:rPr>
          <w:b/>
          <w:sz w:val="24"/>
          <w:szCs w:val="24"/>
        </w:rPr>
        <w:t>Priorytet:</w:t>
      </w:r>
      <w:r w:rsidRPr="00756592">
        <w:rPr>
          <w:sz w:val="24"/>
          <w:szCs w:val="24"/>
        </w:rPr>
        <w:t xml:space="preserve">  6a Inwestowanie w sektor gospodarki odpadami celem wypełnienia zobowiązań określonych w dorobku prawnym Unii w zakresie środowiska oraz zaspokojenia wykraczających poza te zobowiązania potrzeb inwestycyjnych</w:t>
      </w:r>
    </w:p>
    <w:p w:rsidR="00756592" w:rsidRPr="00756592" w:rsidRDefault="00756592" w:rsidP="00756592">
      <w:pPr>
        <w:spacing w:after="0" w:line="240" w:lineRule="auto"/>
        <w:jc w:val="both"/>
        <w:rPr>
          <w:sz w:val="24"/>
          <w:szCs w:val="24"/>
        </w:rPr>
      </w:pPr>
      <w:r w:rsidRPr="00756592">
        <w:rPr>
          <w:b/>
          <w:sz w:val="24"/>
          <w:szCs w:val="24"/>
        </w:rPr>
        <w:t>Cel szczegółowy:</w:t>
      </w:r>
      <w:r w:rsidRPr="00756592">
        <w:rPr>
          <w:sz w:val="24"/>
          <w:szCs w:val="24"/>
        </w:rPr>
        <w:t xml:space="preserve">  Zwiększony udział odpadów zebranych selektywnie </w:t>
      </w:r>
    </w:p>
    <w:p w:rsidR="00756592" w:rsidRPr="00756592" w:rsidRDefault="00756592" w:rsidP="00756592">
      <w:pPr>
        <w:spacing w:after="0" w:line="240" w:lineRule="auto"/>
        <w:jc w:val="both"/>
        <w:rPr>
          <w:sz w:val="24"/>
          <w:szCs w:val="24"/>
        </w:rPr>
      </w:pPr>
      <w:r w:rsidRPr="00756592">
        <w:rPr>
          <w:b/>
          <w:sz w:val="24"/>
          <w:szCs w:val="24"/>
        </w:rPr>
        <w:t xml:space="preserve">Schemat: </w:t>
      </w:r>
      <w:r w:rsidRPr="00756592">
        <w:rPr>
          <w:sz w:val="24"/>
          <w:szCs w:val="24"/>
        </w:rPr>
        <w:t>punkty selektywnego zbierania odpadów komunalnych (PSZOK)</w:t>
      </w:r>
      <w:r w:rsidR="008109F8" w:rsidRPr="008109F8">
        <w:t xml:space="preserve"> </w:t>
      </w:r>
      <w:r w:rsidR="008109F8" w:rsidRPr="008109F8">
        <w:rPr>
          <w:sz w:val="24"/>
          <w:szCs w:val="24"/>
        </w:rPr>
        <w:t>– projekt grantowy</w:t>
      </w:r>
      <w:bookmarkStart w:id="0" w:name="_GoBack"/>
      <w:bookmarkEnd w:id="0"/>
    </w:p>
    <w:p w:rsidR="00A65FB1" w:rsidRDefault="00A65FB1" w:rsidP="00A65FB1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335"/>
        <w:gridCol w:w="1529"/>
        <w:gridCol w:w="4736"/>
      </w:tblGrid>
      <w:tr w:rsidR="00B94E16" w:rsidRPr="00707EBF" w:rsidTr="00A4277E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B94E16" w:rsidRPr="00707EBF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B94E16" w:rsidRPr="00707EBF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Nazwa wskaźnika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B94E16" w:rsidRPr="00707EBF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B94E16" w:rsidRPr="00707EBF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Definicja wskaźnika</w:t>
            </w:r>
          </w:p>
        </w:tc>
      </w:tr>
      <w:tr w:rsidR="00B94E16" w:rsidRPr="00707EBF" w:rsidTr="00B94E16">
        <w:trPr>
          <w:trHeight w:val="575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B94E16" w:rsidRPr="00707EBF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 w:cs="Arial"/>
                <w:b/>
                <w:sz w:val="20"/>
                <w:szCs w:val="20"/>
              </w:rPr>
              <w:t>Wskaźnik rezultatu bezpośredniego</w:t>
            </w:r>
          </w:p>
        </w:tc>
      </w:tr>
      <w:tr w:rsidR="00274607" w:rsidRPr="00707EBF" w:rsidTr="00707EBF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274607" w:rsidRPr="00707EBF" w:rsidRDefault="00274607" w:rsidP="002746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707EBF" w:rsidRDefault="00274607" w:rsidP="00274607">
            <w:pPr>
              <w:spacing w:after="0" w:line="240" w:lineRule="auto"/>
              <w:rPr>
                <w:rFonts w:eastAsia="Times New Roman" w:cs="Arial CE"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Liczba osób objętych selektywnym zbieraniem odpadów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607" w:rsidRPr="00707EBF" w:rsidRDefault="00274607" w:rsidP="00274607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274607" w:rsidRPr="00707EBF" w:rsidRDefault="00274607" w:rsidP="00F87A83">
            <w:pPr>
              <w:spacing w:before="80" w:after="6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707EBF">
              <w:rPr>
                <w:sz w:val="20"/>
                <w:szCs w:val="20"/>
              </w:rPr>
              <w:t xml:space="preserve">Liczba osób objętych selektywnym zbieraniem odpadów w związku z eksploatacją </w:t>
            </w:r>
            <w:r w:rsidR="00F87A83" w:rsidRPr="00707EBF">
              <w:rPr>
                <w:sz w:val="20"/>
                <w:szCs w:val="20"/>
              </w:rPr>
              <w:t>p</w:t>
            </w:r>
            <w:r w:rsidRPr="00707EBF">
              <w:rPr>
                <w:sz w:val="20"/>
                <w:szCs w:val="20"/>
              </w:rPr>
              <w:t xml:space="preserve">unktów </w:t>
            </w:r>
            <w:r w:rsidR="00F87A83" w:rsidRPr="00707EBF">
              <w:rPr>
                <w:sz w:val="20"/>
                <w:szCs w:val="20"/>
              </w:rPr>
              <w:t>s</w:t>
            </w:r>
            <w:r w:rsidRPr="00707EBF">
              <w:rPr>
                <w:sz w:val="20"/>
                <w:szCs w:val="20"/>
              </w:rPr>
              <w:t xml:space="preserve">elektywnego </w:t>
            </w:r>
            <w:r w:rsidR="00F87A83" w:rsidRPr="00707EBF">
              <w:rPr>
                <w:sz w:val="20"/>
                <w:szCs w:val="20"/>
              </w:rPr>
              <w:t>z</w:t>
            </w:r>
            <w:r w:rsidRPr="00707EBF">
              <w:rPr>
                <w:sz w:val="20"/>
                <w:szCs w:val="20"/>
              </w:rPr>
              <w:t xml:space="preserve">bierania </w:t>
            </w:r>
            <w:r w:rsidR="00F87A83" w:rsidRPr="00707EBF">
              <w:rPr>
                <w:sz w:val="20"/>
                <w:szCs w:val="20"/>
              </w:rPr>
              <w:t>o</w:t>
            </w:r>
            <w:r w:rsidRPr="00707EBF">
              <w:rPr>
                <w:sz w:val="20"/>
                <w:szCs w:val="20"/>
              </w:rPr>
              <w:t xml:space="preserve">dpadów </w:t>
            </w:r>
            <w:r w:rsidR="00F87A83" w:rsidRPr="00707EBF">
              <w:rPr>
                <w:sz w:val="20"/>
                <w:szCs w:val="20"/>
              </w:rPr>
              <w:t>k</w:t>
            </w:r>
            <w:r w:rsidR="00586E05" w:rsidRPr="00707EBF">
              <w:rPr>
                <w:sz w:val="20"/>
                <w:szCs w:val="20"/>
              </w:rPr>
              <w:t>omunalnych</w:t>
            </w:r>
          </w:p>
        </w:tc>
      </w:tr>
      <w:tr w:rsidR="00A65FB1" w:rsidRPr="00707EBF" w:rsidTr="00707EBF">
        <w:trPr>
          <w:trHeight w:val="470"/>
        </w:trPr>
        <w:tc>
          <w:tcPr>
            <w:tcW w:w="5000" w:type="pct"/>
            <w:gridSpan w:val="4"/>
            <w:shd w:val="clear" w:color="auto" w:fill="F2F2F2"/>
            <w:vAlign w:val="center"/>
          </w:tcPr>
          <w:p w:rsidR="00A65FB1" w:rsidRPr="00707EBF" w:rsidRDefault="00A65FB1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 w:cs="Arial"/>
                <w:b/>
                <w:sz w:val="20"/>
                <w:szCs w:val="20"/>
              </w:rPr>
              <w:t>Wskaźnik produktu</w:t>
            </w:r>
          </w:p>
        </w:tc>
      </w:tr>
      <w:tr w:rsidR="00274607" w:rsidRPr="00707EBF" w:rsidTr="00707EBF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274607" w:rsidRPr="00707EBF" w:rsidRDefault="00274607" w:rsidP="002746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707EBF" w:rsidRDefault="00274607" w:rsidP="00274607">
            <w:pPr>
              <w:spacing w:after="0" w:line="240" w:lineRule="auto"/>
              <w:rPr>
                <w:rFonts w:eastAsia="Times New Roman" w:cs="Arial CE"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Liczba wspartych Punktów Selektywnego Zbierania Odpadów Komunalnych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707EBF" w:rsidRDefault="00274607" w:rsidP="00274607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274607" w:rsidRPr="00707EBF" w:rsidRDefault="00274607" w:rsidP="00F87A83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707EBF">
              <w:rPr>
                <w:rFonts w:asciiTheme="minorHAnsi" w:hAnsiTheme="minorHAnsi" w:cs="Arial"/>
                <w:sz w:val="20"/>
                <w:szCs w:val="20"/>
              </w:rPr>
              <w:t xml:space="preserve">Liczba </w:t>
            </w:r>
            <w:r w:rsidR="00F87A83" w:rsidRPr="00707EBF">
              <w:rPr>
                <w:rFonts w:asciiTheme="minorHAnsi" w:hAnsiTheme="minorHAnsi" w:cs="Arial"/>
                <w:sz w:val="20"/>
                <w:szCs w:val="20"/>
              </w:rPr>
              <w:t>p</w:t>
            </w:r>
            <w:r w:rsidRPr="00707EBF">
              <w:rPr>
                <w:rFonts w:asciiTheme="minorHAnsi" w:hAnsiTheme="minorHAnsi" w:cs="Arial"/>
                <w:sz w:val="20"/>
                <w:szCs w:val="20"/>
              </w:rPr>
              <w:t xml:space="preserve">unktów </w:t>
            </w:r>
            <w:r w:rsidR="00F87A83" w:rsidRPr="00707EBF">
              <w:rPr>
                <w:rFonts w:asciiTheme="minorHAnsi" w:hAnsiTheme="minorHAnsi" w:cs="Arial"/>
                <w:sz w:val="20"/>
                <w:szCs w:val="20"/>
              </w:rPr>
              <w:t>s</w:t>
            </w:r>
            <w:r w:rsidRPr="00707EBF">
              <w:rPr>
                <w:rFonts w:asciiTheme="minorHAnsi" w:hAnsiTheme="minorHAnsi" w:cs="Arial"/>
                <w:sz w:val="20"/>
                <w:szCs w:val="20"/>
              </w:rPr>
              <w:t xml:space="preserve">elektywnego </w:t>
            </w:r>
            <w:r w:rsidR="00F87A83" w:rsidRPr="00707EBF">
              <w:rPr>
                <w:rFonts w:asciiTheme="minorHAnsi" w:hAnsiTheme="minorHAnsi" w:cs="Arial"/>
                <w:sz w:val="20"/>
                <w:szCs w:val="20"/>
              </w:rPr>
              <w:t>z</w:t>
            </w:r>
            <w:r w:rsidRPr="00707EBF">
              <w:rPr>
                <w:rFonts w:asciiTheme="minorHAnsi" w:hAnsiTheme="minorHAnsi" w:cs="Arial"/>
                <w:sz w:val="20"/>
                <w:szCs w:val="20"/>
              </w:rPr>
              <w:t xml:space="preserve">bierania </w:t>
            </w:r>
            <w:r w:rsidR="00F87A83" w:rsidRPr="00707EBF">
              <w:rPr>
                <w:rFonts w:asciiTheme="minorHAnsi" w:hAnsiTheme="minorHAnsi" w:cs="Arial"/>
                <w:sz w:val="20"/>
                <w:szCs w:val="20"/>
              </w:rPr>
              <w:t>o</w:t>
            </w:r>
            <w:r w:rsidRPr="00707EBF">
              <w:rPr>
                <w:rFonts w:asciiTheme="minorHAnsi" w:hAnsiTheme="minorHAnsi" w:cs="Arial"/>
                <w:sz w:val="20"/>
                <w:szCs w:val="20"/>
              </w:rPr>
              <w:t xml:space="preserve">dpadów </w:t>
            </w:r>
            <w:r w:rsidR="00F87A83" w:rsidRPr="00707EBF">
              <w:rPr>
                <w:rFonts w:asciiTheme="minorHAnsi" w:hAnsiTheme="minorHAnsi" w:cs="Arial"/>
                <w:sz w:val="20"/>
                <w:szCs w:val="20"/>
              </w:rPr>
              <w:t>k</w:t>
            </w:r>
            <w:r w:rsidRPr="00707EBF">
              <w:rPr>
                <w:rFonts w:asciiTheme="minorHAnsi" w:hAnsiTheme="minorHAnsi" w:cs="Arial"/>
                <w:sz w:val="20"/>
                <w:szCs w:val="20"/>
              </w:rPr>
              <w:t>omunalnych</w:t>
            </w:r>
            <w:r w:rsidR="00F87A83" w:rsidRPr="00707EBF">
              <w:rPr>
                <w:rFonts w:asciiTheme="minorHAnsi" w:hAnsiTheme="minorHAnsi" w:cs="Arial"/>
                <w:sz w:val="20"/>
                <w:szCs w:val="20"/>
              </w:rPr>
              <w:t>,</w:t>
            </w:r>
            <w:r w:rsidRPr="00707EBF">
              <w:rPr>
                <w:rFonts w:asciiTheme="minorHAnsi" w:hAnsiTheme="minorHAnsi" w:cs="Arial"/>
                <w:sz w:val="20"/>
                <w:szCs w:val="20"/>
              </w:rPr>
              <w:t xml:space="preserve"> które otrzymały wsparcie w ramach zrealizowanych projektów.</w:t>
            </w:r>
          </w:p>
        </w:tc>
      </w:tr>
      <w:tr w:rsidR="001A48C7" w:rsidRPr="00707EBF" w:rsidTr="001A48C7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07EBF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1A48C7" w:rsidRPr="00707EBF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07EBF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w momencie rozliczenia wydatku związanego z dostosowaniem obiektów do potrzeb osób z niepełnosprawnościami w ramach danego projektu.</w:t>
            </w:r>
          </w:p>
        </w:tc>
      </w:tr>
      <w:tr w:rsidR="001A48C7" w:rsidRPr="00707EBF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707EBF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07EBF">
              <w:rPr>
                <w:sz w:val="20"/>
                <w:szCs w:val="20"/>
              </w:rPr>
              <w:t xml:space="preserve"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</w:t>
            </w:r>
            <w:r w:rsidRPr="00707EBF">
              <w:rPr>
                <w:sz w:val="20"/>
                <w:szCs w:val="20"/>
              </w:rPr>
              <w:lastRenderedPageBreak/>
              <w:t>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1A48C7" w:rsidRPr="00707EBF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3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:rsidR="001A48C7" w:rsidRPr="00707EBF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707EBF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07EBF">
              <w:rPr>
                <w:sz w:val="20"/>
                <w:szCs w:val="20"/>
              </w:rPr>
              <w:t>Racjonalne usprawnienie oznacza konieczne i odpowiednie zmiany oraz dostosowania, nie 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1A48C7" w:rsidRPr="00707EBF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:rsidR="001A48C7" w:rsidRPr="00707EBF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707EBF">
              <w:rPr>
                <w:rFonts w:eastAsia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AB7EB9" w:rsidRPr="00707EBF">
              <w:rPr>
                <w:rFonts w:eastAsia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707EBF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707EBF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07EBF">
              <w:rPr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AB7EB9" w:rsidRPr="00707EBF">
              <w:rPr>
                <w:sz w:val="20"/>
                <w:szCs w:val="20"/>
              </w:rPr>
              <w:t xml:space="preserve"> (TIK)</w:t>
            </w:r>
            <w:r w:rsidRPr="00707EBF">
              <w:rPr>
                <w:sz w:val="20"/>
                <w:szCs w:val="20"/>
              </w:rPr>
              <w:t>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usług im towarzyszących; działania edukacyjne i szkoleniowe. W przypadku gdy beneficjentem pozostaje jeden podmiot, we wskaźniku należy ująć wartość „1”. 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</w:tbl>
    <w:p w:rsidR="00254AC2" w:rsidRDefault="00254AC2"/>
    <w:sectPr w:rsidR="00254AC2" w:rsidSect="00752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04D85"/>
    <w:multiLevelType w:val="hybridMultilevel"/>
    <w:tmpl w:val="5B08C2E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1"/>
    <w:rsid w:val="000D5DFB"/>
    <w:rsid w:val="001A48C7"/>
    <w:rsid w:val="001C00FC"/>
    <w:rsid w:val="001D62DA"/>
    <w:rsid w:val="00254AC2"/>
    <w:rsid w:val="00274607"/>
    <w:rsid w:val="00336601"/>
    <w:rsid w:val="00565E26"/>
    <w:rsid w:val="00586E05"/>
    <w:rsid w:val="00707EBF"/>
    <w:rsid w:val="00752862"/>
    <w:rsid w:val="00756592"/>
    <w:rsid w:val="00785119"/>
    <w:rsid w:val="007C5102"/>
    <w:rsid w:val="008109F8"/>
    <w:rsid w:val="00844C3F"/>
    <w:rsid w:val="008A1B8F"/>
    <w:rsid w:val="008C74D4"/>
    <w:rsid w:val="009F261E"/>
    <w:rsid w:val="00A4277E"/>
    <w:rsid w:val="00A65FB1"/>
    <w:rsid w:val="00A7799F"/>
    <w:rsid w:val="00A9490D"/>
    <w:rsid w:val="00AB7EB9"/>
    <w:rsid w:val="00B81438"/>
    <w:rsid w:val="00B94E16"/>
    <w:rsid w:val="00C04E5D"/>
    <w:rsid w:val="00CF3E9C"/>
    <w:rsid w:val="00D4410C"/>
    <w:rsid w:val="00F87A83"/>
    <w:rsid w:val="00FD6E0A"/>
    <w:rsid w:val="00FE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46B97-26FA-44CD-AE51-B6E4D86D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Bezodstpw">
    <w:name w:val="No Spacing"/>
    <w:uiPriority w:val="1"/>
    <w:qFormat/>
    <w:rsid w:val="00B94E16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771</Words>
  <Characters>4627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M.Chojnacka</cp:lastModifiedBy>
  <cp:revision>8</cp:revision>
  <dcterms:created xsi:type="dcterms:W3CDTF">2018-03-02T11:43:00Z</dcterms:created>
  <dcterms:modified xsi:type="dcterms:W3CDTF">2018-03-26T06:44:00Z</dcterms:modified>
</cp:coreProperties>
</file>